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20F541B">
      <w:pPr>
        <w:pStyle w:val="11"/>
        <w:jc w:val="center"/>
        <w:rPr>
          <w:rFonts w:ascii="仿宋_GB2312" w:hAnsi="仿宋_GB2312" w:eastAsia="仿宋_GB2312" w:cs="仿宋_GB2312"/>
          <w:b/>
          <w:bCs/>
          <w:sz w:val="44"/>
          <w:szCs w:val="44"/>
        </w:rPr>
      </w:pPr>
      <w:r>
        <w:rPr>
          <w:rFonts w:hint="eastAsia" w:ascii="仿宋_GB2312" w:hAnsi="仿宋_GB2312" w:eastAsia="仿宋_GB2312" w:cs="仿宋_GB2312"/>
          <w:b/>
          <w:bCs/>
          <w:sz w:val="44"/>
          <w:szCs w:val="44"/>
        </w:rPr>
        <w:t>海南热带海洋学院三亚校区部分卫生保洁、绿化养护等物业服务基本信息情况</w:t>
      </w:r>
    </w:p>
    <w:p w14:paraId="317EB9AC">
      <w:pPr>
        <w:pStyle w:val="11"/>
        <w:jc w:val="center"/>
        <w:rPr>
          <w:rFonts w:ascii="黑体" w:hAnsi="黑体" w:eastAsia="黑体" w:cs="黑体"/>
          <w:sz w:val="36"/>
          <w:szCs w:val="36"/>
        </w:rPr>
      </w:pPr>
    </w:p>
    <w:p w14:paraId="21C29018">
      <w:pPr>
        <w:pStyle w:val="11"/>
        <w:spacing w:line="500" w:lineRule="exact"/>
        <w:ind w:left="643"/>
        <w:rPr>
          <w:rFonts w:ascii="仿宋_GB2312" w:hAnsi="仿宋_GB2312" w:eastAsia="仿宋_GB2312" w:cs="仿宋_GB2312"/>
          <w:b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一、建筑相关区域：</w:t>
      </w:r>
    </w:p>
    <w:p w14:paraId="3C4CE416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1.1</w:t>
      </w:r>
      <w:r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  <w:t xml:space="preserve">  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sz w:val="32"/>
          <w:szCs w:val="32"/>
        </w:rPr>
        <w:t>图书馆：</w:t>
      </w:r>
    </w:p>
    <w:p w14:paraId="5401FD69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建筑面积：31871㎡ 层高数量：地上1</w:t>
      </w:r>
      <w:r>
        <w:rPr>
          <w:rFonts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层，地下一层 </w:t>
      </w:r>
    </w:p>
    <w:p w14:paraId="103A61D2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室外保洁面积约：9825㎡ ；</w:t>
      </w:r>
    </w:p>
    <w:p w14:paraId="4AE79C2A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1.2. 行政楼：</w:t>
      </w:r>
    </w:p>
    <w:p w14:paraId="3BE0F7ED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建筑面积：8959㎡ 层高数量：6 层；</w:t>
      </w:r>
    </w:p>
    <w:p w14:paraId="08D36D0A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室外保洁面积约：7296㎡</w:t>
      </w:r>
    </w:p>
    <w:p w14:paraId="01987619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1.3. 人文社科楼：</w:t>
      </w:r>
    </w:p>
    <w:p w14:paraId="0A91F0F1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建筑面积：15022㎡ 层高数量：7层；</w:t>
      </w:r>
    </w:p>
    <w:p w14:paraId="500CBCEC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室外保洁面积约：5256㎡</w:t>
      </w:r>
    </w:p>
    <w:p w14:paraId="19620AE8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1.4. 艺术教学楼与排演中心</w:t>
      </w:r>
    </w:p>
    <w:p w14:paraId="36B02EA5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建筑面积：19356㎡ 层高数量：7层</w:t>
      </w:r>
    </w:p>
    <w:p w14:paraId="2E131998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室外保洁面积约：4003㎡ </w:t>
      </w:r>
    </w:p>
    <w:p w14:paraId="6DC90273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1.5. 第二食堂外围及地下室</w:t>
      </w:r>
    </w:p>
    <w:p w14:paraId="1E409138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保洁面积约：2574㎡ </w:t>
      </w:r>
    </w:p>
    <w:p w14:paraId="73A0A2A0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1.6. 教学楼6栋</w:t>
      </w:r>
    </w:p>
    <w:p w14:paraId="01967041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建筑面积：15876㎡   层高数量：6层；</w:t>
      </w:r>
    </w:p>
    <w:p w14:paraId="78428DF1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室外保洁面积约：3234㎡ </w:t>
      </w:r>
    </w:p>
    <w:p w14:paraId="51602E5D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1.7. 教学楼7栋</w:t>
      </w:r>
    </w:p>
    <w:p w14:paraId="3CBD1C8C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建筑面积：18753㎡   层高数量：6层；</w:t>
      </w:r>
    </w:p>
    <w:p w14:paraId="4A53D523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室外保洁面积约：3234㎡ </w:t>
      </w:r>
    </w:p>
    <w:p w14:paraId="7C21E15E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1.8. 教学楼8栋</w:t>
      </w:r>
    </w:p>
    <w:p w14:paraId="1E06FFBB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建筑面积：20884㎡   层高数量：6层；</w:t>
      </w:r>
    </w:p>
    <w:p w14:paraId="54DFECF9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保洁面积约：3234㎡ </w:t>
      </w:r>
    </w:p>
    <w:p w14:paraId="5F74D87C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1.9</w:t>
      </w:r>
      <w:r>
        <w:rPr>
          <w:rFonts w:ascii="仿宋_GB2312" w:hAnsi="仿宋_GB2312" w:eastAsia="仿宋_GB2312" w:cs="仿宋_GB2312"/>
          <w:sz w:val="32"/>
          <w:szCs w:val="32"/>
        </w:rPr>
        <w:t xml:space="preserve"> </w:t>
      </w:r>
      <w:r>
        <w:rPr>
          <w:rFonts w:hint="eastAsia" w:ascii="仿宋_GB2312" w:hAnsi="仿宋_GB2312" w:eastAsia="仿宋_GB2312" w:cs="仿宋_GB2312"/>
          <w:sz w:val="32"/>
          <w:szCs w:val="32"/>
        </w:rPr>
        <w:t xml:space="preserve"> 教学楼9栋：</w:t>
      </w:r>
    </w:p>
    <w:p w14:paraId="2D3D390E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建筑面积：14482㎡   层高数量：6层；</w:t>
      </w:r>
    </w:p>
    <w:p w14:paraId="4F58B5B9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保洁面积约：1623㎡</w:t>
      </w:r>
    </w:p>
    <w:p w14:paraId="6525DBCD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</w:t>
      </w:r>
      <w:r>
        <w:rPr>
          <w:rFonts w:ascii="仿宋_GB2312" w:hAnsi="仿宋_GB2312" w:eastAsia="仿宋_GB2312" w:cs="仿宋_GB2312"/>
          <w:sz w:val="32"/>
          <w:szCs w:val="32"/>
        </w:rPr>
        <w:t xml:space="preserve">.10 </w:t>
      </w:r>
      <w:r>
        <w:rPr>
          <w:rFonts w:hint="eastAsia" w:ascii="仿宋_GB2312" w:hAnsi="仿宋_GB2312" w:eastAsia="仿宋_GB2312" w:cs="仿宋_GB2312"/>
          <w:sz w:val="32"/>
          <w:szCs w:val="32"/>
        </w:rPr>
        <w:t>合计总建筑面积：145202㎡ ，合计建筑外围总保洁面积约：49435㎡</w:t>
      </w:r>
    </w:p>
    <w:p w14:paraId="32A332CE">
      <w:pPr>
        <w:pStyle w:val="11"/>
        <w:spacing w:line="500" w:lineRule="exact"/>
        <w:ind w:left="643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二、绿化养护服务面积：总绿化面积约：13</w:t>
      </w:r>
      <w:r>
        <w:rPr>
          <w:rFonts w:ascii="仿宋_GB2312" w:hAnsi="仿宋_GB2312" w:eastAsia="仿宋_GB2312" w:cs="仿宋_GB2312"/>
          <w:b/>
          <w:bCs/>
          <w:sz w:val="32"/>
          <w:szCs w:val="32"/>
        </w:rPr>
        <w:t>.5</w:t>
      </w: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万㎡</w:t>
      </w:r>
    </w:p>
    <w:p w14:paraId="379F98EA">
      <w:pPr>
        <w:pStyle w:val="11"/>
        <w:spacing w:line="500" w:lineRule="exact"/>
        <w:ind w:left="643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三、拟服务外包主要内容：</w:t>
      </w:r>
    </w:p>
    <w:p w14:paraId="74450405">
      <w:pPr>
        <w:pStyle w:val="11"/>
        <w:spacing w:line="50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3.1 对建筑内大厅、过道、楼梯、公共</w:t>
      </w:r>
      <w:r>
        <w:rPr>
          <w:rFonts w:hint="eastAsia" w:ascii="仿宋" w:hAnsi="仿宋" w:eastAsia="仿宋"/>
          <w:sz w:val="32"/>
          <w:szCs w:val="32"/>
        </w:rPr>
        <w:t>洗手间、电梯轿厢等公共空间及周边外环境进行卫生保洁等工作；图书馆大厅、阅览室、博物馆、公共洗手间等除办公室外的全部公共卫生保洁及周边外环境。</w:t>
      </w:r>
    </w:p>
    <w:p w14:paraId="73986EE7">
      <w:pPr>
        <w:pStyle w:val="11"/>
        <w:spacing w:line="50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3.2 对上述服务区域进行绿化日常养护工作。</w:t>
      </w:r>
    </w:p>
    <w:p w14:paraId="70A8D254">
      <w:pPr>
        <w:pStyle w:val="11"/>
        <w:spacing w:line="500" w:lineRule="exact"/>
        <w:ind w:firstLine="643" w:firstLineChars="200"/>
        <w:rPr>
          <w:rFonts w:ascii="仿宋" w:hAnsi="仿宋" w:eastAsia="仿宋"/>
          <w:b/>
          <w:sz w:val="32"/>
          <w:szCs w:val="32"/>
        </w:rPr>
      </w:pPr>
      <w:r>
        <w:rPr>
          <w:rFonts w:hint="eastAsia" w:ascii="仿宋" w:hAnsi="仿宋" w:eastAsia="仿宋"/>
          <w:b/>
          <w:sz w:val="32"/>
          <w:szCs w:val="32"/>
        </w:rPr>
        <w:t>四、服务期限：三年。</w:t>
      </w:r>
    </w:p>
    <w:p w14:paraId="3CF1E2C9">
      <w:pPr>
        <w:pStyle w:val="11"/>
        <w:spacing w:line="500" w:lineRule="exact"/>
        <w:ind w:left="643"/>
        <w:rPr>
          <w:rFonts w:ascii="仿宋_GB2312" w:hAnsi="仿宋_GB2312" w:eastAsia="仿宋_GB2312" w:cs="仿宋_GB2312"/>
          <w:b/>
          <w:bCs/>
          <w:sz w:val="32"/>
          <w:szCs w:val="32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</w:rPr>
        <w:t>五、物业考核办法及检查标准</w:t>
      </w:r>
    </w:p>
    <w:p w14:paraId="26960E4A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1.考核原则</w:t>
      </w:r>
    </w:p>
    <w:p w14:paraId="65AEFB7B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坚持平时检查与集中考核相结合，按服务项目单项考核与综合考核相结合的原则。</w:t>
      </w:r>
    </w:p>
    <w:p w14:paraId="04F28C48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2.考核范围和内容</w:t>
      </w:r>
    </w:p>
    <w:p w14:paraId="67FC5D87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2.1考核范围：</w:t>
      </w:r>
    </w:p>
    <w:p w14:paraId="579CE6CC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清洁卫生服务、绿化养护服务项目等所涉及的服务内容和范围。</w:t>
      </w:r>
    </w:p>
    <w:p w14:paraId="394F0962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2.2考核内容：</w:t>
      </w:r>
    </w:p>
    <w:p w14:paraId="2827D64F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依据本项目的管理服务质量标准与要求，对上述各服务项目的服务质量、综合管理进行考核。</w:t>
      </w:r>
    </w:p>
    <w:p w14:paraId="1B556925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3.考核方式和标准</w:t>
      </w:r>
    </w:p>
    <w:p w14:paraId="67E3E955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季度考核：学校物业管理服务质量将进行季度考核和每季度扣罚。考核将以季度为单位进行，扣罚将以季度为单位进行汇总。</w:t>
      </w:r>
    </w:p>
    <w:p w14:paraId="437BA5B2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每</w:t>
      </w:r>
      <w:r>
        <w:rPr>
          <w:rFonts w:hint="eastAsia" w:ascii="仿宋_GB2312" w:hAnsi="仿宋_GB2312" w:eastAsia="仿宋_GB2312" w:cs="仿宋_GB2312"/>
          <w:sz w:val="32"/>
          <w:szCs w:val="32"/>
        </w:rPr>
        <w:t>季度</w:t>
      </w:r>
      <w:r>
        <w:rPr>
          <w:rFonts w:ascii="仿宋_GB2312" w:hAnsi="仿宋_GB2312" w:eastAsia="仿宋_GB2312" w:cs="仿宋_GB2312"/>
          <w:sz w:val="32"/>
          <w:szCs w:val="32"/>
        </w:rPr>
        <w:t>物业管理费用＝中标合同金额合计÷物业管理服务的</w:t>
      </w:r>
      <w:r>
        <w:rPr>
          <w:rFonts w:hint="eastAsia" w:ascii="仿宋_GB2312" w:hAnsi="仿宋_GB2312" w:eastAsia="仿宋_GB2312" w:cs="仿宋_GB2312"/>
          <w:sz w:val="32"/>
          <w:szCs w:val="32"/>
        </w:rPr>
        <w:t>季度</w:t>
      </w:r>
      <w:r>
        <w:rPr>
          <w:rFonts w:ascii="仿宋_GB2312" w:hAnsi="仿宋_GB2312" w:eastAsia="仿宋_GB2312" w:cs="仿宋_GB2312"/>
          <w:sz w:val="32"/>
          <w:szCs w:val="32"/>
        </w:rPr>
        <w:t>数-根据考核情况需要减值的部分费用。</w:t>
      </w:r>
    </w:p>
    <w:p w14:paraId="799080CA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季度考核等级分为优秀、良好、合格、不合格，其中评分</w:t>
      </w:r>
      <w:r>
        <w:rPr>
          <w:rFonts w:ascii="仿宋_GB2312" w:hAnsi="仿宋_GB2312" w:eastAsia="仿宋_GB2312" w:cs="仿宋_GB2312"/>
          <w:sz w:val="32"/>
          <w:szCs w:val="32"/>
        </w:rPr>
        <w:t>90</w:t>
      </w:r>
      <w:r>
        <w:rPr>
          <w:rFonts w:hint="eastAsia" w:ascii="仿宋_GB2312" w:hAnsi="仿宋_GB2312" w:eastAsia="仿宋_GB2312" w:cs="仿宋_GB2312"/>
          <w:sz w:val="32"/>
          <w:szCs w:val="32"/>
        </w:rPr>
        <w:t>分以上为优秀，</w:t>
      </w:r>
      <w:r>
        <w:rPr>
          <w:rFonts w:ascii="仿宋_GB2312" w:hAnsi="仿宋_GB2312" w:eastAsia="仿宋_GB2312" w:cs="仿宋_GB2312"/>
          <w:sz w:val="32"/>
          <w:szCs w:val="32"/>
        </w:rPr>
        <w:t>80-90</w:t>
      </w:r>
      <w:r>
        <w:rPr>
          <w:rFonts w:hint="eastAsia" w:ascii="仿宋_GB2312" w:hAnsi="仿宋_GB2312" w:eastAsia="仿宋_GB2312" w:cs="仿宋_GB2312"/>
          <w:sz w:val="32"/>
          <w:szCs w:val="32"/>
        </w:rPr>
        <w:t>分为良好，</w:t>
      </w:r>
      <w:r>
        <w:rPr>
          <w:rFonts w:ascii="仿宋_GB2312" w:hAnsi="仿宋_GB2312" w:eastAsia="仿宋_GB2312" w:cs="仿宋_GB2312"/>
          <w:sz w:val="32"/>
          <w:szCs w:val="32"/>
        </w:rPr>
        <w:t>80</w:t>
      </w:r>
      <w:r>
        <w:rPr>
          <w:rFonts w:hint="eastAsia" w:ascii="仿宋_GB2312" w:hAnsi="仿宋_GB2312" w:eastAsia="仿宋_GB2312" w:cs="仿宋_GB2312"/>
          <w:sz w:val="32"/>
          <w:szCs w:val="32"/>
        </w:rPr>
        <w:t>合格，</w:t>
      </w:r>
      <w:r>
        <w:rPr>
          <w:rFonts w:ascii="仿宋_GB2312" w:hAnsi="仿宋_GB2312" w:eastAsia="仿宋_GB2312" w:cs="仿宋_GB2312"/>
          <w:sz w:val="32"/>
          <w:szCs w:val="32"/>
        </w:rPr>
        <w:t>80</w:t>
      </w:r>
      <w:r>
        <w:rPr>
          <w:rFonts w:hint="eastAsia" w:ascii="仿宋_GB2312" w:hAnsi="仿宋_GB2312" w:eastAsia="仿宋_GB2312" w:cs="仿宋_GB2312"/>
          <w:sz w:val="32"/>
          <w:szCs w:val="32"/>
        </w:rPr>
        <w:t>分以下为不合格。</w:t>
      </w:r>
    </w:p>
    <w:p w14:paraId="37A9D180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ascii="仿宋_GB2312" w:hAnsi="仿宋_GB2312" w:eastAsia="仿宋_GB2312" w:cs="仿宋_GB2312"/>
          <w:sz w:val="32"/>
          <w:szCs w:val="32"/>
        </w:rPr>
        <w:t>学校</w:t>
      </w:r>
      <w:r>
        <w:rPr>
          <w:rFonts w:hint="eastAsia" w:ascii="仿宋_GB2312" w:hAnsi="仿宋_GB2312" w:eastAsia="仿宋_GB2312" w:cs="仿宋_GB2312"/>
          <w:sz w:val="32"/>
          <w:szCs w:val="32"/>
        </w:rPr>
        <w:t>监督考评部门对所有负责的考评项目进行考评，季度考评总分在 90 分及以上，不扣减相对应考评项目当季度应支付乙方的物业服务费;季度考评总分在90分以下，扣减相应考评项目当季度应支付乙方物业服务费</w:t>
      </w:r>
      <w:r>
        <w:rPr>
          <w:rFonts w:ascii="仿宋_GB2312" w:hAnsi="仿宋_GB2312" w:eastAsia="仿宋_GB2312" w:cs="仿宋_GB2312"/>
          <w:sz w:val="32"/>
          <w:szCs w:val="32"/>
        </w:rPr>
        <w:t>，每</w:t>
      </w:r>
      <w:r>
        <w:rPr>
          <w:rFonts w:hint="eastAsia" w:ascii="仿宋_GB2312" w:hAnsi="仿宋_GB2312" w:eastAsia="仿宋_GB2312" w:cs="仿宋_GB2312"/>
          <w:sz w:val="32"/>
          <w:szCs w:val="32"/>
        </w:rPr>
        <w:t>分</w:t>
      </w:r>
      <w:r>
        <w:rPr>
          <w:rFonts w:ascii="仿宋_GB2312" w:hAnsi="仿宋_GB2312" w:eastAsia="仿宋_GB2312" w:cs="仿宋_GB2312"/>
          <w:sz w:val="32"/>
          <w:szCs w:val="32"/>
        </w:rPr>
        <w:t>扣</w:t>
      </w:r>
      <w:r>
        <w:rPr>
          <w:rFonts w:hint="eastAsia" w:ascii="仿宋_GB2312" w:hAnsi="仿宋_GB2312" w:eastAsia="仿宋_GB2312" w:cs="仿宋_GB2312"/>
          <w:sz w:val="32"/>
          <w:szCs w:val="32"/>
        </w:rPr>
        <w:t>减</w:t>
      </w:r>
      <w:r>
        <w:rPr>
          <w:rFonts w:ascii="仿宋_GB2312" w:hAnsi="仿宋_GB2312" w:eastAsia="仿宋_GB2312" w:cs="仿宋_GB2312"/>
          <w:sz w:val="32"/>
          <w:szCs w:val="32"/>
        </w:rPr>
        <w:t>200</w:t>
      </w:r>
      <w:r>
        <w:rPr>
          <w:rFonts w:hint="eastAsia" w:ascii="仿宋_GB2312" w:hAnsi="仿宋_GB2312" w:eastAsia="仿宋_GB2312" w:cs="仿宋_GB2312"/>
          <w:sz w:val="32"/>
          <w:szCs w:val="32"/>
        </w:rPr>
        <w:t>元</w:t>
      </w:r>
      <w:r>
        <w:rPr>
          <w:rFonts w:ascii="仿宋_GB2312" w:hAnsi="仿宋_GB2312" w:eastAsia="仿宋_GB2312" w:cs="仿宋_GB2312"/>
          <w:sz w:val="32"/>
          <w:szCs w:val="32"/>
        </w:rPr>
        <w:t>。</w:t>
      </w:r>
    </w:p>
    <w:p w14:paraId="08D6E8C1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连续</w:t>
      </w:r>
      <w:r>
        <w:rPr>
          <w:rFonts w:ascii="仿宋_GB2312" w:hAnsi="仿宋_GB2312" w:eastAsia="仿宋_GB2312" w:cs="仿宋_GB2312"/>
          <w:sz w:val="32"/>
          <w:szCs w:val="32"/>
        </w:rPr>
        <w:t>2</w:t>
      </w:r>
      <w:r>
        <w:rPr>
          <w:rFonts w:hint="eastAsia" w:ascii="仿宋_GB2312" w:hAnsi="仿宋_GB2312" w:eastAsia="仿宋_GB2312" w:cs="仿宋_GB2312"/>
          <w:sz w:val="32"/>
          <w:szCs w:val="32"/>
        </w:rPr>
        <w:t>次季度考核评分80分以下（不含80分），或一年内累计出现</w:t>
      </w:r>
      <w:r>
        <w:rPr>
          <w:rFonts w:ascii="仿宋_GB2312" w:hAnsi="仿宋_GB2312" w:eastAsia="仿宋_GB2312" w:cs="仿宋_GB2312"/>
          <w:sz w:val="32"/>
          <w:szCs w:val="32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</w:rPr>
        <w:t>次季度考核评分80分以下（不含80分），采购人有权终止合同且无需承担责任。</w:t>
      </w:r>
    </w:p>
    <w:p w14:paraId="37ABF201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学校每季度对成交中标人该季度工作情况（包括工作内容、工作态度、问题处理速度、承诺配备人员是否在岗及被投诉情况）进行考核打分。该项分数占最终年度考核评分70%。</w:t>
      </w:r>
    </w:p>
    <w:p w14:paraId="12AC5C3D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年度考核：学校对物业管理服务全年工作情况进行年终抽样调查考评。</w:t>
      </w:r>
    </w:p>
    <w:p w14:paraId="34BC93F2">
      <w:pPr>
        <w:pStyle w:val="11"/>
        <w:spacing w:line="50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该项评分结果占最终年度考核评分30%。年度考核得分=季度考核平均分*70%+年终抽样考评*30%，</w:t>
      </w:r>
      <w:r>
        <w:rPr>
          <w:rFonts w:ascii="仿宋_GB2312" w:hAnsi="仿宋_GB2312" w:eastAsia="仿宋_GB2312" w:cs="仿宋_GB2312"/>
          <w:sz w:val="32"/>
          <w:szCs w:val="32"/>
        </w:rPr>
        <w:t>年度考核不合格</w:t>
      </w:r>
      <w:r>
        <w:rPr>
          <w:rFonts w:hint="eastAsia" w:ascii="仿宋_GB2312" w:hAnsi="仿宋_GB2312" w:eastAsia="仿宋_GB2312" w:cs="仿宋_GB2312"/>
          <w:sz w:val="32"/>
          <w:szCs w:val="32"/>
        </w:rPr>
        <w:t>采购人有权终止合同且无需承担责任。</w:t>
      </w:r>
    </w:p>
    <w:p w14:paraId="62403BC0">
      <w:pPr>
        <w:pStyle w:val="11"/>
        <w:spacing w:line="500" w:lineRule="exact"/>
        <w:ind w:firstLine="640" w:firstLineChars="200"/>
        <w:rPr>
          <w:rFonts w:ascii="仿宋" w:hAnsi="仿宋" w:eastAsia="仿宋"/>
          <w:sz w:val="32"/>
          <w:szCs w:val="32"/>
        </w:rPr>
      </w:pPr>
    </w:p>
    <w:p w14:paraId="5329BA5B">
      <w:pPr>
        <w:pStyle w:val="11"/>
        <w:spacing w:line="520" w:lineRule="exact"/>
        <w:ind w:firstLine="5440" w:firstLineChars="17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基建与后勤管理处</w:t>
      </w:r>
    </w:p>
    <w:p w14:paraId="0A3A2EEB">
      <w:pPr>
        <w:pStyle w:val="11"/>
        <w:spacing w:line="52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 xml:space="preserve"> </w:t>
      </w:r>
      <w:r>
        <w:rPr>
          <w:rFonts w:ascii="仿宋" w:hAnsi="仿宋" w:eastAsia="仿宋"/>
          <w:sz w:val="32"/>
          <w:szCs w:val="32"/>
        </w:rPr>
        <w:t xml:space="preserve">                           </w:t>
      </w:r>
      <w:r>
        <w:rPr>
          <w:rFonts w:hint="eastAsia" w:ascii="仿宋" w:hAnsi="仿宋" w:eastAsia="仿宋"/>
          <w:sz w:val="32"/>
          <w:szCs w:val="32"/>
        </w:rPr>
        <w:t xml:space="preserve"> </w:t>
      </w:r>
      <w:r>
        <w:rPr>
          <w:rFonts w:ascii="仿宋" w:hAnsi="仿宋" w:eastAsia="仿宋"/>
          <w:sz w:val="32"/>
          <w:szCs w:val="32"/>
        </w:rPr>
        <w:t xml:space="preserve"> </w:t>
      </w:r>
      <w:r>
        <w:rPr>
          <w:rFonts w:hint="eastAsia" w:ascii="仿宋" w:hAnsi="仿宋" w:eastAsia="仿宋"/>
          <w:sz w:val="32"/>
          <w:szCs w:val="32"/>
        </w:rPr>
        <w:t xml:space="preserve">  </w:t>
      </w:r>
      <w:r>
        <w:rPr>
          <w:rFonts w:ascii="仿宋" w:hAnsi="仿宋" w:eastAsia="仿宋"/>
          <w:sz w:val="32"/>
          <w:szCs w:val="32"/>
        </w:rPr>
        <w:t>2024年</w:t>
      </w:r>
      <w:r>
        <w:rPr>
          <w:rFonts w:hint="eastAsia" w:ascii="仿宋" w:hAnsi="仿宋" w:eastAsia="仿宋"/>
          <w:sz w:val="32"/>
          <w:szCs w:val="32"/>
        </w:rPr>
        <w:t>11</w:t>
      </w:r>
      <w:r>
        <w:rPr>
          <w:rFonts w:ascii="仿宋" w:hAnsi="仿宋" w:eastAsia="仿宋"/>
          <w:sz w:val="32"/>
          <w:szCs w:val="32"/>
        </w:rPr>
        <w:t>月29日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Arial">
    <w:panose1 w:val="020B0604020202020204"/>
    <w:charset w:val="00"/>
    <w:family w:val="swiss"/>
    <w:pitch w:val="default"/>
    <w:sig w:usb0="E0002EFF" w:usb1="C0007843" w:usb2="00000009" w:usb3="00000000" w:csb0="400001FF" w:csb1="FFFF0000"/>
  </w:font>
  <w:font w:name="微软雅黑">
    <w:panose1 w:val="020B0503020204020204"/>
    <w:charset w:val="86"/>
    <w:family w:val="swiss"/>
    <w:pitch w:val="default"/>
    <w:sig w:usb0="80000287" w:usb1="28CF3C50" w:usb2="00000016" w:usb3="00000000" w:csb0="0004001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OGE0YzM5NTViYzJlMmQ5Mzk0YWJiNDUyODdiZmQ4NjkifQ=="/>
  </w:docVars>
  <w:rsids>
    <w:rsidRoot w:val="00924BB9"/>
    <w:rsid w:val="000120E0"/>
    <w:rsid w:val="00027DF7"/>
    <w:rsid w:val="000347AE"/>
    <w:rsid w:val="00052AFD"/>
    <w:rsid w:val="00061596"/>
    <w:rsid w:val="00090F8C"/>
    <w:rsid w:val="000C7962"/>
    <w:rsid w:val="00134533"/>
    <w:rsid w:val="001D4C11"/>
    <w:rsid w:val="001D67E9"/>
    <w:rsid w:val="00214F4C"/>
    <w:rsid w:val="00220932"/>
    <w:rsid w:val="00277EF9"/>
    <w:rsid w:val="00294937"/>
    <w:rsid w:val="002C2FE7"/>
    <w:rsid w:val="002F19A8"/>
    <w:rsid w:val="002F25D8"/>
    <w:rsid w:val="002F55BE"/>
    <w:rsid w:val="003132E5"/>
    <w:rsid w:val="00343174"/>
    <w:rsid w:val="00353C34"/>
    <w:rsid w:val="00356030"/>
    <w:rsid w:val="003723E1"/>
    <w:rsid w:val="00383A7E"/>
    <w:rsid w:val="00395FBC"/>
    <w:rsid w:val="003A4851"/>
    <w:rsid w:val="003B4341"/>
    <w:rsid w:val="003E2DA3"/>
    <w:rsid w:val="00401A54"/>
    <w:rsid w:val="00462E29"/>
    <w:rsid w:val="00484A50"/>
    <w:rsid w:val="004A6941"/>
    <w:rsid w:val="004C14E5"/>
    <w:rsid w:val="005113E6"/>
    <w:rsid w:val="00582276"/>
    <w:rsid w:val="005B5479"/>
    <w:rsid w:val="005C26E4"/>
    <w:rsid w:val="005D0A07"/>
    <w:rsid w:val="005E437E"/>
    <w:rsid w:val="0063436E"/>
    <w:rsid w:val="00674C56"/>
    <w:rsid w:val="00733BD2"/>
    <w:rsid w:val="00775776"/>
    <w:rsid w:val="00852B1B"/>
    <w:rsid w:val="00884458"/>
    <w:rsid w:val="008A5D55"/>
    <w:rsid w:val="008C2CB7"/>
    <w:rsid w:val="008D39E8"/>
    <w:rsid w:val="009072B2"/>
    <w:rsid w:val="00924BB9"/>
    <w:rsid w:val="00953F98"/>
    <w:rsid w:val="00A849D0"/>
    <w:rsid w:val="00AA1D08"/>
    <w:rsid w:val="00AA322D"/>
    <w:rsid w:val="00AD10E6"/>
    <w:rsid w:val="00AE6CCE"/>
    <w:rsid w:val="00B93E27"/>
    <w:rsid w:val="00BE1218"/>
    <w:rsid w:val="00BF6112"/>
    <w:rsid w:val="00C72E67"/>
    <w:rsid w:val="00C90E7F"/>
    <w:rsid w:val="00CA54DD"/>
    <w:rsid w:val="00CD2C40"/>
    <w:rsid w:val="00CF4E3F"/>
    <w:rsid w:val="00D079B8"/>
    <w:rsid w:val="00D14B6F"/>
    <w:rsid w:val="00D40580"/>
    <w:rsid w:val="00E15FF9"/>
    <w:rsid w:val="00E3571B"/>
    <w:rsid w:val="00E67F74"/>
    <w:rsid w:val="00EC0419"/>
    <w:rsid w:val="00EE7E4B"/>
    <w:rsid w:val="00EF06E7"/>
    <w:rsid w:val="00F573AF"/>
    <w:rsid w:val="00F6668D"/>
    <w:rsid w:val="00FB4473"/>
    <w:rsid w:val="00FF02B9"/>
    <w:rsid w:val="10046849"/>
    <w:rsid w:val="104F3A87"/>
    <w:rsid w:val="11727E29"/>
    <w:rsid w:val="15512530"/>
    <w:rsid w:val="1B767316"/>
    <w:rsid w:val="2ABB062A"/>
    <w:rsid w:val="3657778B"/>
    <w:rsid w:val="3755562B"/>
    <w:rsid w:val="37A36CD7"/>
    <w:rsid w:val="3ABB3E24"/>
    <w:rsid w:val="3F105E1A"/>
    <w:rsid w:val="41DD344C"/>
    <w:rsid w:val="425C413F"/>
    <w:rsid w:val="45F4639B"/>
    <w:rsid w:val="4BC66ACD"/>
    <w:rsid w:val="4C4A3198"/>
    <w:rsid w:val="501415E9"/>
    <w:rsid w:val="50C9245C"/>
    <w:rsid w:val="5BF7355D"/>
    <w:rsid w:val="610F75D9"/>
    <w:rsid w:val="63344D70"/>
    <w:rsid w:val="668B26B8"/>
    <w:rsid w:val="6A771266"/>
    <w:rsid w:val="6BB7742C"/>
    <w:rsid w:val="7A2448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2"/>
    <w:basedOn w:val="1"/>
    <w:next w:val="1"/>
    <w:link w:val="12"/>
    <w:qFormat/>
    <w:uiPriority w:val="0"/>
    <w:pPr>
      <w:keepNext/>
      <w:keepLines/>
      <w:spacing w:line="360" w:lineRule="auto"/>
      <w:jc w:val="center"/>
      <w:outlineLvl w:val="1"/>
    </w:pPr>
    <w:rPr>
      <w:rFonts w:ascii="Arial" w:hAnsi="Arial" w:eastAsia="黑体" w:cs="Times New Roman"/>
      <w:b/>
      <w:bCs/>
      <w:sz w:val="28"/>
      <w:szCs w:val="32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  <w:szCs w:val="24"/>
    </w:rPr>
  </w:style>
  <w:style w:type="character" w:customStyle="1" w:styleId="9">
    <w:name w:val="页眉 字符"/>
    <w:basedOn w:val="8"/>
    <w:link w:val="5"/>
    <w:qFormat/>
    <w:uiPriority w:val="99"/>
    <w:rPr>
      <w:sz w:val="18"/>
      <w:szCs w:val="18"/>
    </w:rPr>
  </w:style>
  <w:style w:type="character" w:customStyle="1" w:styleId="10">
    <w:name w:val="页脚 字符"/>
    <w:basedOn w:val="8"/>
    <w:link w:val="4"/>
    <w:qFormat/>
    <w:uiPriority w:val="99"/>
    <w:rPr>
      <w:sz w:val="18"/>
      <w:szCs w:val="18"/>
    </w:rPr>
  </w:style>
  <w:style w:type="paragraph" w:customStyle="1" w:styleId="11">
    <w:name w:val="Default"/>
    <w:qFormat/>
    <w:uiPriority w:val="0"/>
    <w:pPr>
      <w:widowControl w:val="0"/>
      <w:autoSpaceDE w:val="0"/>
      <w:autoSpaceDN w:val="0"/>
      <w:adjustRightInd w:val="0"/>
    </w:pPr>
    <w:rPr>
      <w:rFonts w:ascii="微软雅黑" w:eastAsia="微软雅黑" w:cs="微软雅黑" w:hAnsiTheme="minorHAnsi"/>
      <w:color w:val="000000"/>
      <w:sz w:val="24"/>
      <w:szCs w:val="24"/>
      <w:lang w:val="en-US" w:eastAsia="zh-CN" w:bidi="ar-SA"/>
    </w:rPr>
  </w:style>
  <w:style w:type="character" w:customStyle="1" w:styleId="12">
    <w:name w:val="标题 2 字符"/>
    <w:basedOn w:val="8"/>
    <w:link w:val="2"/>
    <w:qFormat/>
    <w:uiPriority w:val="0"/>
    <w:rPr>
      <w:rFonts w:ascii="Arial" w:hAnsi="Arial" w:eastAsia="黑体"/>
      <w:b/>
      <w:bCs/>
      <w:kern w:val="2"/>
      <w:sz w:val="28"/>
      <w:szCs w:val="32"/>
    </w:rPr>
  </w:style>
  <w:style w:type="paragraph" w:customStyle="1" w:styleId="13">
    <w:name w:val="正文_43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customStyle="1" w:styleId="14">
    <w:name w:val="批注框文本 字符"/>
    <w:basedOn w:val="8"/>
    <w:link w:val="3"/>
    <w:semiHidden/>
    <w:qFormat/>
    <w:uiPriority w:val="99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3</Pages>
  <Words>1149</Words>
  <Characters>1290</Characters>
  <Lines>10</Lines>
  <Paragraphs>2</Paragraphs>
  <TotalTime>72</TotalTime>
  <ScaleCrop>false</ScaleCrop>
  <LinksUpToDate>false</LinksUpToDate>
  <CharactersWithSpaces>1361</CharactersWithSpaces>
  <Application>WPS Office_12.1.0.18372_F1E327BC-269C-435d-A152-05C5408002CA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2024-05-27T02:46:00Z</dcterms:created>
  <dc:creator>HUAWEI</dc:creator>
  <cp:lastModifiedBy>微信用户</cp:lastModifiedBy>
  <cp:lastPrinted>2024-12-03T02:14:29Z</cp:lastPrinted>
  <dcterms:modified xsi:type="dcterms:W3CDTF">2024-12-03T02:16:49Z</dcterms:modified>
  <cp:revision>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2052-12.1.0.18372</vt:lpwstr>
  </property>
  <property fmtid="{D5CDD505-2E9C-101B-9397-08002B2CF9AE}" pid="3" name="ICV">
    <vt:lpwstr>4D827451C2624722916488A28CB3BB9D_13</vt:lpwstr>
  </property>
</Properties>
</file>